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F638" w14:textId="5EFEE318" w:rsidR="007D1AD4" w:rsidRPr="007D1AD4" w:rsidRDefault="007D1AD4" w:rsidP="007D1AD4">
      <w:r>
        <w:rPr>
          <w:b/>
          <w:bCs/>
        </w:rPr>
        <w:t>N</w:t>
      </w:r>
      <w:r w:rsidRPr="007D1AD4">
        <w:rPr>
          <w:b/>
          <w:bCs/>
        </w:rPr>
        <w:t xml:space="preserve">ew Customer £20 Asda Pounds Offer Terms and conditions (“Offer Terms”) </w:t>
      </w:r>
      <w:r w:rsidRPr="007D1AD4">
        <w:t> </w:t>
      </w:r>
    </w:p>
    <w:p w14:paraId="14167260" w14:textId="77777777" w:rsidR="007D1AD4" w:rsidRPr="007D1AD4" w:rsidRDefault="007D1AD4" w:rsidP="007D1AD4">
      <w:r w:rsidRPr="007D1AD4">
        <w:t> </w:t>
      </w:r>
    </w:p>
    <w:p w14:paraId="3C2E90E9" w14:textId="77777777" w:rsidR="007D1AD4" w:rsidRPr="007D1AD4" w:rsidRDefault="007D1AD4" w:rsidP="007D1AD4">
      <w:r w:rsidRPr="007D1AD4">
        <w:rPr>
          <w:b/>
          <w:bCs/>
        </w:rPr>
        <w:t>The Offer </w:t>
      </w:r>
      <w:r w:rsidRPr="007D1AD4">
        <w:t> </w:t>
      </w:r>
    </w:p>
    <w:p w14:paraId="617A11C9" w14:textId="77777777" w:rsidR="007D1AD4" w:rsidRPr="007D1AD4" w:rsidRDefault="007D1AD4" w:rsidP="007D1AD4">
      <w:r w:rsidRPr="007D1AD4">
        <w:t> </w:t>
      </w:r>
    </w:p>
    <w:p w14:paraId="23092F60" w14:textId="77777777" w:rsidR="007D1AD4" w:rsidRPr="007D1AD4" w:rsidRDefault="007D1AD4" w:rsidP="007D1AD4">
      <w:r w:rsidRPr="007D1AD4">
        <w:rPr>
          <w:lang w:val="en-US"/>
        </w:rPr>
        <w:t>This offer is available to new customers who start an application</w:t>
      </w:r>
      <w:r w:rsidRPr="007D1AD4">
        <w:rPr>
          <w:u w:val="single"/>
          <w:lang w:val="en-US"/>
        </w:rPr>
        <w:t xml:space="preserve"> </w:t>
      </w:r>
      <w:r w:rsidRPr="007D1AD4">
        <w:rPr>
          <w:lang w:val="en-US"/>
        </w:rPr>
        <w:t>from 00:01, 21 October 2025. Your new Asda Money Credit Card or Asda Money Select Credit Card (“Select”) must be opened from 00:01, 21 October 2025 until 23:59, 31</w:t>
      </w:r>
      <w:r w:rsidRPr="007D1AD4">
        <w:rPr>
          <w:vertAlign w:val="superscript"/>
          <w:lang w:val="en-US"/>
        </w:rPr>
        <w:t>st</w:t>
      </w:r>
      <w:r w:rsidRPr="007D1AD4">
        <w:rPr>
          <w:lang w:val="en-US"/>
        </w:rPr>
        <w:t xml:space="preserve"> December for you to be eligible for this offer.  </w:t>
      </w:r>
      <w:r w:rsidRPr="007D1AD4">
        <w:t> </w:t>
      </w:r>
    </w:p>
    <w:p w14:paraId="326B4A2C" w14:textId="77777777" w:rsidR="007D1AD4" w:rsidRPr="007D1AD4" w:rsidRDefault="007D1AD4" w:rsidP="007D1AD4">
      <w:r w:rsidRPr="007D1AD4">
        <w:t> </w:t>
      </w:r>
    </w:p>
    <w:p w14:paraId="59093AB9" w14:textId="77777777" w:rsidR="007D1AD4" w:rsidRPr="007D1AD4" w:rsidRDefault="007D1AD4" w:rsidP="007D1AD4">
      <w:r w:rsidRPr="007D1AD4">
        <w:t>We reserve the right to suspend, cancel or amend these Offer Terms at any time without giving prior notice.  </w:t>
      </w:r>
    </w:p>
    <w:p w14:paraId="521EA2A6" w14:textId="77777777" w:rsidR="007D1AD4" w:rsidRPr="007D1AD4" w:rsidRDefault="007D1AD4" w:rsidP="007D1AD4">
      <w:r w:rsidRPr="007D1AD4">
        <w:t> </w:t>
      </w:r>
    </w:p>
    <w:p w14:paraId="7C52932B" w14:textId="77777777" w:rsidR="007D1AD4" w:rsidRPr="007D1AD4" w:rsidRDefault="007D1AD4" w:rsidP="007D1AD4">
      <w:r w:rsidRPr="007D1AD4">
        <w:rPr>
          <w:lang w:val="en-US"/>
        </w:rPr>
        <w:t>To qualify for this offer, you must have made purchases totaling at least £50 at Asda using your Asda Money Credit Card or Select Credit Card and set up a Direct Debit within 60 days of account opening (“Qualifying Period”). </w:t>
      </w:r>
      <w:r w:rsidRPr="007D1AD4">
        <w:t> </w:t>
      </w:r>
    </w:p>
    <w:p w14:paraId="06E4C2CC" w14:textId="77777777" w:rsidR="007D1AD4" w:rsidRPr="007D1AD4" w:rsidRDefault="007D1AD4" w:rsidP="007D1AD4">
      <w:r w:rsidRPr="007D1AD4">
        <w:t> </w:t>
      </w:r>
    </w:p>
    <w:p w14:paraId="1111CE6D" w14:textId="77777777" w:rsidR="007D1AD4" w:rsidRPr="007D1AD4" w:rsidRDefault="007D1AD4" w:rsidP="007D1AD4">
      <w:r w:rsidRPr="007D1AD4">
        <w:rPr>
          <w:lang w:val="en-US"/>
        </w:rPr>
        <w:t>If you meet the qualifying criteria, we will increase your Asda Pounds balance by £20 within 90 days of opening your account. You can find your Asda Pounds balance in your Asda Money Credit Card app or online servicing account.</w:t>
      </w:r>
      <w:r w:rsidRPr="007D1AD4">
        <w:t> </w:t>
      </w:r>
    </w:p>
    <w:p w14:paraId="7328D58E" w14:textId="77777777" w:rsidR="007D1AD4" w:rsidRPr="007D1AD4" w:rsidRDefault="007D1AD4" w:rsidP="007D1AD4">
      <w:r w:rsidRPr="007D1AD4">
        <w:t> </w:t>
      </w:r>
    </w:p>
    <w:p w14:paraId="00959E01" w14:textId="77777777" w:rsidR="007D1AD4" w:rsidRPr="007D1AD4" w:rsidRDefault="007D1AD4" w:rsidP="007D1AD4">
      <w:r w:rsidRPr="007D1AD4">
        <w:rPr>
          <w:lang w:val="en-US"/>
        </w:rPr>
        <w:t>Cash advances or balance transfers will not be considered as qualifying purchases. If purchases made during this period are not fully charged to your account within 60 days of account opening (including if they are reversed), you may not qualify for this offer. </w:t>
      </w:r>
      <w:r w:rsidRPr="007D1AD4">
        <w:t> </w:t>
      </w:r>
    </w:p>
    <w:p w14:paraId="06DB31C2" w14:textId="77777777" w:rsidR="007D1AD4" w:rsidRPr="007D1AD4" w:rsidRDefault="007D1AD4" w:rsidP="007D1AD4">
      <w:r w:rsidRPr="007D1AD4">
        <w:t xml:space="preserve">You will continue to earn Asda Pounds at the rate set out in the </w:t>
      </w:r>
      <w:r w:rsidRPr="007D1AD4">
        <w:rPr>
          <w:b/>
          <w:bCs/>
        </w:rPr>
        <w:t>Asda Money Credit Card Rewards Terms and Conditions.</w:t>
      </w:r>
      <w:r w:rsidRPr="007D1AD4">
        <w:t>  </w:t>
      </w:r>
    </w:p>
    <w:p w14:paraId="22108518" w14:textId="77777777" w:rsidR="007D1AD4" w:rsidRPr="007D1AD4" w:rsidRDefault="007D1AD4" w:rsidP="007D1AD4">
      <w:r w:rsidRPr="007D1AD4">
        <w:t> </w:t>
      </w:r>
    </w:p>
    <w:p w14:paraId="6ECEAFBD" w14:textId="77777777" w:rsidR="007D1AD4" w:rsidRPr="007D1AD4" w:rsidRDefault="007D1AD4" w:rsidP="007D1AD4">
      <w:r w:rsidRPr="007D1AD4">
        <w:rPr>
          <w:b/>
          <w:bCs/>
        </w:rPr>
        <w:t>Eligibility </w:t>
      </w:r>
      <w:r w:rsidRPr="007D1AD4">
        <w:t> </w:t>
      </w:r>
    </w:p>
    <w:p w14:paraId="0A38C8D5" w14:textId="77777777" w:rsidR="007D1AD4" w:rsidRPr="007D1AD4" w:rsidRDefault="007D1AD4" w:rsidP="007D1AD4">
      <w:r w:rsidRPr="007D1AD4">
        <w:t> </w:t>
      </w:r>
    </w:p>
    <w:p w14:paraId="3F7D431C" w14:textId="4BFB7ABD" w:rsidR="007D1AD4" w:rsidRPr="007D1AD4" w:rsidRDefault="007D1AD4" w:rsidP="007D1AD4">
      <w:r w:rsidRPr="007D1AD4">
        <w:t xml:space="preserve">The offer is not available to existing Asda Money Credit Cardholders or Select Credit Cardholders or if you have held an Asda Money Credit Card or Select Credit Card within the last 12 months. It is also not available to customers who open an Asda Money Balance Transfer Credit Card. To open an Asda Money Credit Card or Select Credit Card, you must have fully completed the application process, which includes selecting your </w:t>
      </w:r>
      <w:r w:rsidRPr="007D1AD4">
        <w:lastRenderedPageBreak/>
        <w:t xml:space="preserve">marketing preferences and credit limit increase preferences within the Offer Period. </w:t>
      </w:r>
      <w:r w:rsidRPr="007D1AD4">
        <w:rPr>
          <w:rFonts w:ascii="Arial" w:hAnsi="Arial" w:cs="Arial"/>
        </w:rPr>
        <w:t> </w:t>
      </w:r>
      <w:r w:rsidRPr="007D1AD4">
        <w:t xml:space="preserve">Applications originating from </w:t>
      </w:r>
      <w:proofErr w:type="spellStart"/>
      <w:r w:rsidRPr="007D1AD4">
        <w:t>ClearScore</w:t>
      </w:r>
      <w:proofErr w:type="spellEnd"/>
      <w:r w:rsidRPr="007D1AD4">
        <w:t xml:space="preserve"> or any</w:t>
      </w:r>
      <w:r w:rsidRPr="007D1AD4">
        <w:rPr>
          <w:rFonts w:ascii="Arial" w:hAnsi="Arial" w:cs="Arial"/>
        </w:rPr>
        <w:t> </w:t>
      </w:r>
      <w:r w:rsidRPr="007D1AD4">
        <w:t>other website</w:t>
      </w:r>
      <w:r w:rsidRPr="007D1AD4">
        <w:rPr>
          <w:rFonts w:ascii="Arial" w:hAnsi="Arial" w:cs="Arial"/>
        </w:rPr>
        <w:t> </w:t>
      </w:r>
      <w:r w:rsidRPr="007D1AD4">
        <w:t>other than the Asda Money website</w:t>
      </w:r>
      <w:r w:rsidRPr="007D1AD4">
        <w:rPr>
          <w:rFonts w:ascii="Arial" w:hAnsi="Arial" w:cs="Arial"/>
        </w:rPr>
        <w:t> </w:t>
      </w:r>
      <w:r w:rsidRPr="007D1AD4">
        <w:t xml:space="preserve">will not be eligible to receive this offer. This offer is non-transferable. The offer cannot be used in conjunction with any other offer. Offer valid once per account. You will not be eligible to receive </w:t>
      </w:r>
      <w:r w:rsidRPr="007D1AD4">
        <w:rPr>
          <w:rFonts w:ascii="Aptos" w:hAnsi="Aptos" w:cs="Aptos"/>
        </w:rPr>
        <w:t>£</w:t>
      </w:r>
      <w:r w:rsidR="00D77DE3">
        <w:t>2</w:t>
      </w:r>
      <w:r w:rsidRPr="007D1AD4">
        <w:t>0 back in Asda Pounds if you break the terms of the credit agreement or if your account has been closed before any Asda Pounds earned have been applied.  </w:t>
      </w:r>
    </w:p>
    <w:p w14:paraId="438457B2" w14:textId="77777777" w:rsidR="007D1AD4" w:rsidRPr="007D1AD4" w:rsidRDefault="007D1AD4" w:rsidP="007D1AD4">
      <w:r w:rsidRPr="007D1AD4">
        <w:t> </w:t>
      </w:r>
    </w:p>
    <w:p w14:paraId="11A17DD9" w14:textId="77777777" w:rsidR="00B41B0B" w:rsidRDefault="00B41B0B"/>
    <w:sectPr w:rsidR="00B41B0B">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EB6F" w14:textId="77777777" w:rsidR="006C71CF" w:rsidRDefault="006C71CF" w:rsidP="007D1AD4">
      <w:pPr>
        <w:spacing w:after="0" w:line="240" w:lineRule="auto"/>
      </w:pPr>
      <w:r>
        <w:separator/>
      </w:r>
    </w:p>
  </w:endnote>
  <w:endnote w:type="continuationSeparator" w:id="0">
    <w:p w14:paraId="7FA4D973" w14:textId="77777777" w:rsidR="006C71CF" w:rsidRDefault="006C71CF" w:rsidP="007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58CC" w14:textId="321C3821" w:rsidR="007D1AD4" w:rsidRDefault="007D1AD4">
    <w:pPr>
      <w:pStyle w:val="Footer"/>
    </w:pPr>
    <w:r>
      <w:rPr>
        <w:noProof/>
      </w:rPr>
      <mc:AlternateContent>
        <mc:Choice Requires="wps">
          <w:drawing>
            <wp:anchor distT="0" distB="0" distL="0" distR="0" simplePos="0" relativeHeight="251659264" behindDoc="0" locked="0" layoutInCell="1" allowOverlap="1" wp14:anchorId="7FA2081A" wp14:editId="47CF9484">
              <wp:simplePos x="635" y="635"/>
              <wp:positionH relativeFrom="page">
                <wp:align>left</wp:align>
              </wp:positionH>
              <wp:positionV relativeFrom="page">
                <wp:align>bottom</wp:align>
              </wp:positionV>
              <wp:extent cx="1613535" cy="370205"/>
              <wp:effectExtent l="0" t="0" r="5715" b="0"/>
              <wp:wrapNone/>
              <wp:docPr id="353677407" name="Text Box 2" descr="Jaja Finance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3535" cy="370205"/>
                      </a:xfrm>
                      <a:prstGeom prst="rect">
                        <a:avLst/>
                      </a:prstGeom>
                      <a:noFill/>
                      <a:ln>
                        <a:noFill/>
                      </a:ln>
                    </wps:spPr>
                    <wps:txbx>
                      <w:txbxContent>
                        <w:p w14:paraId="33C5A3B8" w14:textId="4026943F"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2081A" id="_x0000_t202" coordsize="21600,21600" o:spt="202" path="m,l,21600r21600,l21600,xe">
              <v:stroke joinstyle="miter"/>
              <v:path gradientshapeok="t" o:connecttype="rect"/>
            </v:shapetype>
            <v:shape id="Text Box 2" o:spid="_x0000_s1026" type="#_x0000_t202" alt="Jaja Finance Internal Use" style="position:absolute;margin-left:0;margin-top:0;width:127.0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" filled="f" stroked="f">
              <v:fill o:detectmouseclick="t"/>
              <v:textbox style="mso-fit-shape-to-text:t" inset="20pt,0,0,15pt">
                <w:txbxContent>
                  <w:p w14:paraId="33C5A3B8" w14:textId="4026943F"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501C" w14:textId="5E897321" w:rsidR="007D1AD4" w:rsidRDefault="007D1AD4">
    <w:pPr>
      <w:pStyle w:val="Footer"/>
    </w:pPr>
    <w:r>
      <w:rPr>
        <w:noProof/>
      </w:rPr>
      <mc:AlternateContent>
        <mc:Choice Requires="wps">
          <w:drawing>
            <wp:anchor distT="0" distB="0" distL="0" distR="0" simplePos="0" relativeHeight="251660288" behindDoc="0" locked="0" layoutInCell="1" allowOverlap="1" wp14:anchorId="5A129F31" wp14:editId="5BF6528A">
              <wp:simplePos x="914400" y="10058400"/>
              <wp:positionH relativeFrom="page">
                <wp:align>left</wp:align>
              </wp:positionH>
              <wp:positionV relativeFrom="page">
                <wp:align>bottom</wp:align>
              </wp:positionV>
              <wp:extent cx="1613535" cy="370205"/>
              <wp:effectExtent l="0" t="0" r="5715" b="0"/>
              <wp:wrapNone/>
              <wp:docPr id="749073833" name="Text Box 3" descr="Jaja Finance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3535" cy="370205"/>
                      </a:xfrm>
                      <a:prstGeom prst="rect">
                        <a:avLst/>
                      </a:prstGeom>
                      <a:noFill/>
                      <a:ln>
                        <a:noFill/>
                      </a:ln>
                    </wps:spPr>
                    <wps:txbx>
                      <w:txbxContent>
                        <w:p w14:paraId="1840B479" w14:textId="6D2ADB6E"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 xml:space="preserve">Jaja </w:t>
                          </w:r>
                          <w:r w:rsidR="00E30CF3">
                            <w:rPr>
                              <w:rFonts w:ascii="Aptos" w:eastAsia="Aptos" w:hAnsi="Aptos" w:cs="Aptos"/>
                              <w:noProof/>
                              <w:color w:val="000000"/>
                              <w:sz w:val="20"/>
                              <w:szCs w:val="20"/>
                            </w:rPr>
                            <w:t xml:space="preserve">Finance </w:t>
                          </w:r>
                          <w:r w:rsidR="00165C96">
                            <w:rPr>
                              <w:rFonts w:ascii="Aptos" w:eastAsia="Aptos" w:hAnsi="Aptos" w:cs="Aptos"/>
                              <w:noProof/>
                              <w:color w:val="000000"/>
                              <w:sz w:val="20"/>
                              <w:szCs w:val="20"/>
                            </w:rPr>
                            <w:t xml:space="preserve">External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129F31" id="_x0000_t202" coordsize="21600,21600" o:spt="202" path="m,l,21600r21600,l21600,xe">
              <v:stroke joinstyle="miter"/>
              <v:path gradientshapeok="t" o:connecttype="rect"/>
            </v:shapetype>
            <v:shape id="Text Box 3" o:spid="_x0000_s1027" type="#_x0000_t202" alt="Jaja Finance Internal Use" style="position:absolute;margin-left:0;margin-top:0;width:127.0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" filled="f" stroked="f">
              <v:textbox style="mso-fit-shape-to-text:t" inset="20pt,0,0,15pt">
                <w:txbxContent>
                  <w:p w14:paraId="1840B479" w14:textId="6D2ADB6E"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 xml:space="preserve">Jaja </w:t>
                    </w:r>
                    <w:r w:rsidR="00E30CF3">
                      <w:rPr>
                        <w:rFonts w:ascii="Aptos" w:eastAsia="Aptos" w:hAnsi="Aptos" w:cs="Aptos"/>
                        <w:noProof/>
                        <w:color w:val="000000"/>
                        <w:sz w:val="20"/>
                        <w:szCs w:val="20"/>
                      </w:rPr>
                      <w:t xml:space="preserve">Finance </w:t>
                    </w:r>
                    <w:r w:rsidR="00165C96">
                      <w:rPr>
                        <w:rFonts w:ascii="Aptos" w:eastAsia="Aptos" w:hAnsi="Aptos" w:cs="Aptos"/>
                        <w:noProof/>
                        <w:color w:val="000000"/>
                        <w:sz w:val="20"/>
                        <w:szCs w:val="20"/>
                      </w:rPr>
                      <w:t xml:space="preserve">External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CBD6" w14:textId="3DC922EB" w:rsidR="007D1AD4" w:rsidRDefault="007D1AD4">
    <w:pPr>
      <w:pStyle w:val="Footer"/>
    </w:pPr>
    <w:r>
      <w:rPr>
        <w:noProof/>
      </w:rPr>
      <mc:AlternateContent>
        <mc:Choice Requires="wps">
          <w:drawing>
            <wp:anchor distT="0" distB="0" distL="0" distR="0" simplePos="0" relativeHeight="251658240" behindDoc="0" locked="0" layoutInCell="1" allowOverlap="1" wp14:anchorId="684D5913" wp14:editId="1FBE0F6D">
              <wp:simplePos x="635" y="635"/>
              <wp:positionH relativeFrom="page">
                <wp:align>left</wp:align>
              </wp:positionH>
              <wp:positionV relativeFrom="page">
                <wp:align>bottom</wp:align>
              </wp:positionV>
              <wp:extent cx="1613535" cy="370205"/>
              <wp:effectExtent l="0" t="0" r="5715" b="0"/>
              <wp:wrapNone/>
              <wp:docPr id="912005455" name="Text Box 1" descr="Jaja Finance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3535" cy="370205"/>
                      </a:xfrm>
                      <a:prstGeom prst="rect">
                        <a:avLst/>
                      </a:prstGeom>
                      <a:noFill/>
                      <a:ln>
                        <a:noFill/>
                      </a:ln>
                    </wps:spPr>
                    <wps:txbx>
                      <w:txbxContent>
                        <w:p w14:paraId="22D0B2AA" w14:textId="3B62D85C"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4D5913" id="_x0000_t202" coordsize="21600,21600" o:spt="202" path="m,l,21600r21600,l21600,xe">
              <v:stroke joinstyle="miter"/>
              <v:path gradientshapeok="t" o:connecttype="rect"/>
            </v:shapetype>
            <v:shape id="Text Box 1" o:spid="_x0000_s1028" type="#_x0000_t202" alt="Jaja Finance Internal Use" style="position:absolute;margin-left:0;margin-top:0;width:127.0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" filled="f" stroked="f">
              <v:fill o:detectmouseclick="t"/>
              <v:textbox style="mso-fit-shape-to-text:t" inset="20pt,0,0,15pt">
                <w:txbxContent>
                  <w:p w14:paraId="22D0B2AA" w14:textId="3B62D85C" w:rsidR="007D1AD4" w:rsidRPr="007D1AD4" w:rsidRDefault="007D1AD4" w:rsidP="007D1AD4">
                    <w:pPr>
                      <w:spacing w:after="0"/>
                      <w:rPr>
                        <w:rFonts w:ascii="Aptos" w:eastAsia="Aptos" w:hAnsi="Aptos" w:cs="Aptos"/>
                        <w:noProof/>
                        <w:color w:val="000000"/>
                        <w:sz w:val="20"/>
                        <w:szCs w:val="20"/>
                      </w:rPr>
                    </w:pPr>
                    <w:r w:rsidRPr="007D1AD4">
                      <w:rPr>
                        <w:rFonts w:ascii="Aptos" w:eastAsia="Aptos" w:hAnsi="Aptos" w:cs="Aptos"/>
                        <w:noProof/>
                        <w:color w:val="000000"/>
                        <w:sz w:val="20"/>
                        <w:szCs w:val="20"/>
                      </w:rPr>
                      <w:t>Jaja Finance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E700" w14:textId="77777777" w:rsidR="006C71CF" w:rsidRDefault="006C71CF" w:rsidP="007D1AD4">
      <w:pPr>
        <w:spacing w:after="0" w:line="240" w:lineRule="auto"/>
      </w:pPr>
      <w:r>
        <w:separator/>
      </w:r>
    </w:p>
  </w:footnote>
  <w:footnote w:type="continuationSeparator" w:id="0">
    <w:p w14:paraId="493EA99A" w14:textId="77777777" w:rsidR="006C71CF" w:rsidRDefault="006C71CF" w:rsidP="007D1A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D4"/>
    <w:rsid w:val="00165C96"/>
    <w:rsid w:val="001F0DDE"/>
    <w:rsid w:val="006C71CF"/>
    <w:rsid w:val="006E0CB9"/>
    <w:rsid w:val="006F1D68"/>
    <w:rsid w:val="007358C7"/>
    <w:rsid w:val="007D1AD4"/>
    <w:rsid w:val="00B41B0B"/>
    <w:rsid w:val="00C55FFC"/>
    <w:rsid w:val="00D77DE3"/>
    <w:rsid w:val="00E30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8687C"/>
  <w15:chartTrackingRefBased/>
  <w15:docId w15:val="{E5CCBF54-520C-411E-8277-6EFD4199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D4"/>
    <w:rPr>
      <w:rFonts w:eastAsiaTheme="majorEastAsia" w:cstheme="majorBidi"/>
      <w:color w:val="272727" w:themeColor="text1" w:themeTint="D8"/>
    </w:rPr>
  </w:style>
  <w:style w:type="paragraph" w:styleId="Title">
    <w:name w:val="Title"/>
    <w:basedOn w:val="Normal"/>
    <w:next w:val="Normal"/>
    <w:link w:val="TitleChar"/>
    <w:uiPriority w:val="10"/>
    <w:qFormat/>
    <w:rsid w:val="007D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D4"/>
    <w:pPr>
      <w:spacing w:before="160"/>
      <w:jc w:val="center"/>
    </w:pPr>
    <w:rPr>
      <w:i/>
      <w:iCs/>
      <w:color w:val="404040" w:themeColor="text1" w:themeTint="BF"/>
    </w:rPr>
  </w:style>
  <w:style w:type="character" w:customStyle="1" w:styleId="QuoteChar">
    <w:name w:val="Quote Char"/>
    <w:basedOn w:val="DefaultParagraphFont"/>
    <w:link w:val="Quote"/>
    <w:uiPriority w:val="29"/>
    <w:rsid w:val="007D1AD4"/>
    <w:rPr>
      <w:i/>
      <w:iCs/>
      <w:color w:val="404040" w:themeColor="text1" w:themeTint="BF"/>
    </w:rPr>
  </w:style>
  <w:style w:type="paragraph" w:styleId="ListParagraph">
    <w:name w:val="List Paragraph"/>
    <w:basedOn w:val="Normal"/>
    <w:uiPriority w:val="34"/>
    <w:qFormat/>
    <w:rsid w:val="007D1AD4"/>
    <w:pPr>
      <w:ind w:left="720"/>
      <w:contextualSpacing/>
    </w:pPr>
  </w:style>
  <w:style w:type="character" w:styleId="IntenseEmphasis">
    <w:name w:val="Intense Emphasis"/>
    <w:basedOn w:val="DefaultParagraphFont"/>
    <w:uiPriority w:val="21"/>
    <w:qFormat/>
    <w:rsid w:val="007D1AD4"/>
    <w:rPr>
      <w:i/>
      <w:iCs/>
      <w:color w:val="0F4761" w:themeColor="accent1" w:themeShade="BF"/>
    </w:rPr>
  </w:style>
  <w:style w:type="paragraph" w:styleId="IntenseQuote">
    <w:name w:val="Intense Quote"/>
    <w:basedOn w:val="Normal"/>
    <w:next w:val="Normal"/>
    <w:link w:val="IntenseQuoteChar"/>
    <w:uiPriority w:val="30"/>
    <w:qFormat/>
    <w:rsid w:val="007D1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D4"/>
    <w:rPr>
      <w:i/>
      <w:iCs/>
      <w:color w:val="0F4761" w:themeColor="accent1" w:themeShade="BF"/>
    </w:rPr>
  </w:style>
  <w:style w:type="character" w:styleId="IntenseReference">
    <w:name w:val="Intense Reference"/>
    <w:basedOn w:val="DefaultParagraphFont"/>
    <w:uiPriority w:val="32"/>
    <w:qFormat/>
    <w:rsid w:val="007D1AD4"/>
    <w:rPr>
      <w:b/>
      <w:bCs/>
      <w:smallCaps/>
      <w:color w:val="0F4761" w:themeColor="accent1" w:themeShade="BF"/>
      <w:spacing w:val="5"/>
    </w:rPr>
  </w:style>
  <w:style w:type="paragraph" w:styleId="Footer">
    <w:name w:val="footer"/>
    <w:basedOn w:val="Normal"/>
    <w:link w:val="FooterChar"/>
    <w:uiPriority w:val="99"/>
    <w:unhideWhenUsed/>
    <w:rsid w:val="007D1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AD4"/>
  </w:style>
  <w:style w:type="paragraph" w:styleId="Header">
    <w:name w:val="header"/>
    <w:basedOn w:val="Normal"/>
    <w:link w:val="HeaderChar"/>
    <w:uiPriority w:val="99"/>
    <w:unhideWhenUsed/>
    <w:rsid w:val="00735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5c28660-9f79-4e09-83b5-efc8766992bc">
      <Terms xmlns="http://schemas.microsoft.com/office/infopath/2007/PartnerControls"/>
    </lcf76f155ced4ddcb4097134ff3c332f>
    <TaxCatchAll xmlns="68d344ff-fa8e-48a4-b306-1e4c2ecf5ab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1DC9363D5614CB36C9147AB64920E" ma:contentTypeVersion="20" ma:contentTypeDescription="Create a new document." ma:contentTypeScope="" ma:versionID="79dae45bfefce2b7ed93b2d88e0a2ffa">
  <xsd:schema xmlns:xsd="http://www.w3.org/2001/XMLSchema" xmlns:xs="http://www.w3.org/2001/XMLSchema" xmlns:p="http://schemas.microsoft.com/office/2006/metadata/properties" xmlns:ns1="http://schemas.microsoft.com/sharepoint/v3" xmlns:ns2="c5c28660-9f79-4e09-83b5-efc8766992bc" xmlns:ns3="68d344ff-fa8e-48a4-b306-1e4c2ecf5ab1" targetNamespace="http://schemas.microsoft.com/office/2006/metadata/properties" ma:root="true" ma:fieldsID="81987b23c82afe15e62adcbdd1424d26" ns1:_="" ns2:_="" ns3:_="">
    <xsd:import namespace="http://schemas.microsoft.com/sharepoint/v3"/>
    <xsd:import namespace="c5c28660-9f79-4e09-83b5-efc8766992bc"/>
    <xsd:import namespace="68d344ff-fa8e-48a4-b306-1e4c2ecf5a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28660-9f79-4e09-83b5-efc876699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d2295c-a3cf-4a8e-ac3a-f0d66ec551c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344ff-fa8e-48a4-b306-1e4c2ecf5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e55457-25f5-402d-81b3-f5f4f8d8c937}" ma:internalName="TaxCatchAll" ma:showField="CatchAllData" ma:web="68d344ff-fa8e-48a4-b306-1e4c2ecf5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EE39-912E-4E23-8001-4E43F1587A42}">
  <ds:schemaRefs>
    <ds:schemaRef ds:uri="http://schemas.microsoft.com/sharepoint/v3/contenttype/forms"/>
  </ds:schemaRefs>
</ds:datastoreItem>
</file>

<file path=customXml/itemProps2.xml><?xml version="1.0" encoding="utf-8"?>
<ds:datastoreItem xmlns:ds="http://schemas.openxmlformats.org/officeDocument/2006/customXml" ds:itemID="{479FF211-E4ED-4C13-BDA6-688B09563A68}">
  <ds:schemaRefs>
    <ds:schemaRef ds:uri="http://schemas.microsoft.com/office/2006/metadata/properties"/>
    <ds:schemaRef ds:uri="http://schemas.microsoft.com/office/infopath/2007/PartnerControls"/>
    <ds:schemaRef ds:uri="http://schemas.microsoft.com/sharepoint/v3"/>
    <ds:schemaRef ds:uri="c5c28660-9f79-4e09-83b5-efc8766992bc"/>
    <ds:schemaRef ds:uri="68d344ff-fa8e-48a4-b306-1e4c2ecf5ab1"/>
  </ds:schemaRefs>
</ds:datastoreItem>
</file>

<file path=customXml/itemProps3.xml><?xml version="1.0" encoding="utf-8"?>
<ds:datastoreItem xmlns:ds="http://schemas.openxmlformats.org/officeDocument/2006/customXml" ds:itemID="{5D2CD464-B000-4350-A03C-1060B3E3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c28660-9f79-4e09-83b5-efc8766992bc"/>
    <ds:schemaRef ds:uri="68d344ff-fa8e-48a4-b306-1e4c2ecf5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f7ade5-c1e8-4570-8b1b-1d87a9d365d3}" enabled="1" method="Standard" siteId="{d0fc7318-c81c-4df8-a52f-3d574af2455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Williams</dc:creator>
  <cp:keywords/>
  <dc:description/>
  <cp:lastModifiedBy>Chantal Williams</cp:lastModifiedBy>
  <cp:revision>2</cp:revision>
  <dcterms:created xsi:type="dcterms:W3CDTF">2025-10-15T15:32:00Z</dcterms:created>
  <dcterms:modified xsi:type="dcterms:W3CDTF">2025-10-15T15:32:00Z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365c194f,1514b05f,2ca5f5a9</vt:lpwstr>
  </property>
  <property fmtid="{D5CDD505-2E9C-101B-9397-08002B2CF9AE}" pid="3" name="ClassificationContentMarkingFooterFontProps">
    <vt:lpwstr>#000000,10,Aptos</vt:lpwstr>
  </property>
  <property fmtid="{D5CDD505-2E9C-101B-9397-08002B2CF9AE}" pid="4" name="ClassificationContentMarkingFooterText">
    <vt:lpwstr>Jaja Finance Internal Use</vt:lpwstr>
  </property>
  <property fmtid="{D5CDD505-2E9C-101B-9397-08002B2CF9AE}" pid="5" name="ContentTypeId">
    <vt:lpwstr>0x0101004951DC9363D5614CB36C9147AB64920E</vt:lpwstr>
  </property>
  <property fmtid="{D5CDD505-2E9C-101B-9397-08002B2CF9AE}" pid="6" name="MediaServiceImageTags">
    <vt:lpwstr/>
  </property>
</Properties>
</file>